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color w:val="C9A24B"/>
          <w:spacing w:val="20"/>
          <w:sz w:val="16"/>
          <w:szCs w:val="16"/>
        </w:rPr>
        <w:t xml:space="preserve">COMPARISON BRIEF — CUSTOMER SUPPORT</w:t>
      </w:r>
    </w:p>
    <w:p>
      <w:pPr>
        <w:spacing w:after="60"/>
      </w:pPr>
      <w:r>
        <w:rPr>
          <w:rFonts w:ascii="Georgia" w:cs="Georgia" w:eastAsia="Georgia" w:hAnsi="Georgia"/>
          <w:b/>
          <w:bCs/>
          <w:color w:val="05070B"/>
          <w:sz w:val="44"/>
          <w:szCs w:val="44"/>
        </w:rPr>
        <w:t xml:space="preserve">Zendesk vs Freshdesk</w:t>
      </w:r>
    </w:p>
    <w:p>
      <w:pPr>
        <w:pBdr>
          <w:bottom w:val="single" w:color="C9A24B" w:sz="12" w:space="8"/>
        </w:pBdr>
        <w:spacing w:after="200"/>
      </w:pPr>
      <w:r>
        <w:rPr>
          <w:rFonts w:ascii="Calibri" w:cs="Calibri" w:eastAsia="Calibri" w:hAnsi="Calibri"/>
          <w:i/>
          <w:iCs/>
          <w:color w:val="5B6472"/>
          <w:sz w:val="22"/>
          <w:szCs w:val="22"/>
        </w:rPr>
        <w:t xml:space="preserve">Both are leading help desk platforms for managing customer support tickets across email, chat, and social channels. Zendesk is the more established enterprise option with deeper customization. Freshdesk is generally more affordable and faster to set up for small-to-mid-size teams.</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2200"/>
        <w:gridCol w:w="3940"/>
        <w:gridCol w:w="3940"/>
      </w:tblGrid>
      <w:tr>
        <w:trPr>
          <w:tblHeader/>
        </w:trPr>
        <w:tc>
          <w:tcPr>
            <w:tcW w:type="dxa" w:w="2200"/>
            <w:shd w:fill="05070B" w:val="clear"/>
            <w:tcMar>
              <w:top w:type="dxa" w:w="100"/>
              <w:left w:type="dxa" w:w="120"/>
              <w:bottom w:type="dxa" w:w="100"/>
              <w:right w:type="dxa" w:w="120"/>
            </w:tcMar>
          </w:tcPr>
          <w:p>
            <w:r>
              <w:rPr>
                <w:rFonts w:ascii="Calibri" w:cs="Calibri" w:eastAsia="Calibri" w:hAnsi="Calibri"/>
                <w:b/>
                <w:bCs/>
                <w:color w:val="FFFFFF"/>
                <w:sz w:val="19"/>
                <w:szCs w:val="19"/>
              </w:rPr>
              <w:t xml:space="preserve">Criterion</w:t>
            </w:r>
          </w:p>
        </w:tc>
        <w:tc>
          <w:tcPr>
            <w:tcW w:type="dxa" w:w="3940"/>
            <w:shd w:fill="38A8E8" w:val="clear"/>
            <w:tcMar>
              <w:top w:type="dxa" w:w="100"/>
              <w:left w:type="dxa" w:w="120"/>
              <w:bottom w:type="dxa" w:w="100"/>
              <w:right w:type="dxa" w:w="120"/>
            </w:tcMar>
          </w:tcPr>
          <w:p>
            <w:r>
              <w:rPr>
                <w:rFonts w:ascii="Calibri" w:cs="Calibri" w:eastAsia="Calibri" w:hAnsi="Calibri"/>
                <w:b/>
                <w:bCs/>
                <w:color w:val="FFFFFF"/>
                <w:sz w:val="19"/>
                <w:szCs w:val="19"/>
              </w:rPr>
              <w:t xml:space="preserve">Zendesk</w:t>
            </w:r>
          </w:p>
        </w:tc>
        <w:tc>
          <w:tcPr>
            <w:tcW w:type="dxa" w:w="3940"/>
            <w:shd w:fill="C9A24B" w:val="clear"/>
            <w:tcMar>
              <w:top w:type="dxa" w:w="100"/>
              <w:left w:type="dxa" w:w="120"/>
              <w:bottom w:type="dxa" w:w="100"/>
              <w:right w:type="dxa" w:w="120"/>
            </w:tcMar>
          </w:tcPr>
          <w:p>
            <w:r>
              <w:rPr>
                <w:rFonts w:ascii="Calibri" w:cs="Calibri" w:eastAsia="Calibri" w:hAnsi="Calibri"/>
                <w:b/>
                <w:bCs/>
                <w:color w:val="FFFFFF"/>
                <w:sz w:val="19"/>
                <w:szCs w:val="19"/>
              </w:rPr>
              <w:t xml:space="preserve">Freshdesk</w:t>
            </w:r>
          </w:p>
        </w:tc>
      </w:tr>
      <w:tr>
        <w:tc>
          <w:tcPr>
            <w:tcW w:type="dxa" w:w="2200"/>
            <w:shd w:fill="F4F1EA" w:val="clear"/>
            <w:tcMar>
              <w:top w:type="dxa" w:w="100"/>
              <w:left w:type="dxa" w:w="120"/>
              <w:bottom w:type="dxa" w:w="100"/>
              <w:right w:type="dxa" w:w="120"/>
            </w:tcMar>
          </w:tcPr>
          <w:p>
            <w:r>
              <w:rPr>
                <w:rFonts w:ascii="Calibri" w:cs="Calibri" w:eastAsia="Calibri" w:hAnsi="Calibri"/>
                <w:b/>
                <w:bCs/>
                <w:color w:val="05070B"/>
                <w:sz w:val="19"/>
                <w:szCs w:val="19"/>
              </w:rPr>
              <w:t xml:space="preserve">Best For</w:t>
            </w:r>
          </w:p>
        </w:tc>
        <w:tc>
          <w:tcPr>
            <w:tcW w:type="dxa" w:w="3940"/>
            <w:tcMar>
              <w:top w:type="dxa" w:w="100"/>
              <w:left w:type="dxa" w:w="120"/>
              <w:bottom w:type="dxa" w:w="100"/>
              <w:right w:type="dxa" w:w="120"/>
            </w:tcMar>
          </w:tcPr>
          <w:p>
            <w:r>
              <w:rPr>
                <w:rFonts w:ascii="Calibri" w:cs="Calibri" w:eastAsia="Calibri" w:hAnsi="Calibri"/>
                <w:b w:val="false"/>
                <w:bCs w:val="false"/>
                <w:color w:val="05070B"/>
                <w:sz w:val="19"/>
                <w:szCs w:val="19"/>
              </w:rPr>
              <w:t xml:space="preserve">Larger support teams that need deep customization and enterprise-grade reporting.</w:t>
            </w:r>
          </w:p>
        </w:tc>
        <w:tc>
          <w:tcPr>
            <w:tcW w:type="dxa" w:w="3940"/>
            <w:tcMar>
              <w:top w:type="dxa" w:w="100"/>
              <w:left w:type="dxa" w:w="120"/>
              <w:bottom w:type="dxa" w:w="100"/>
              <w:right w:type="dxa" w:w="120"/>
            </w:tcMar>
          </w:tcPr>
          <w:p>
            <w:r>
              <w:rPr>
                <w:rFonts w:ascii="Calibri" w:cs="Calibri" w:eastAsia="Calibri" w:hAnsi="Calibri"/>
                <w:b w:val="false"/>
                <w:bCs w:val="false"/>
                <w:color w:val="05070B"/>
                <w:sz w:val="19"/>
                <w:szCs w:val="19"/>
              </w:rPr>
              <w:t xml:space="preserve">Small-to-mid-size teams that want a fast setup and strong value at lower cost.</w:t>
            </w:r>
          </w:p>
        </w:tc>
      </w:tr>
      <w:tr>
        <w:tc>
          <w:tcPr>
            <w:tcW w:type="dxa" w:w="2200"/>
            <w:shd w:fill="F4F1EA" w:val="clear"/>
            <w:tcMar>
              <w:top w:type="dxa" w:w="100"/>
              <w:left w:type="dxa" w:w="120"/>
              <w:bottom w:type="dxa" w:w="100"/>
              <w:right w:type="dxa" w:w="120"/>
            </w:tcMar>
          </w:tcPr>
          <w:p>
            <w:r>
              <w:rPr>
                <w:rFonts w:ascii="Calibri" w:cs="Calibri" w:eastAsia="Calibri" w:hAnsi="Calibri"/>
                <w:b/>
                <w:bCs/>
                <w:color w:val="05070B"/>
                <w:sz w:val="19"/>
                <w:szCs w:val="19"/>
              </w:rPr>
              <w:t xml:space="preserve">Pricing Model</w:t>
            </w:r>
          </w:p>
        </w:tc>
        <w:tc>
          <w:tcPr>
            <w:tcW w:type="dxa" w:w="3940"/>
            <w:tcMar>
              <w:top w:type="dxa" w:w="100"/>
              <w:left w:type="dxa" w:w="120"/>
              <w:bottom w:type="dxa" w:w="100"/>
              <w:right w:type="dxa" w:w="120"/>
            </w:tcMar>
          </w:tcPr>
          <w:p>
            <w:r>
              <w:rPr>
                <w:rFonts w:ascii="Calibri" w:cs="Calibri" w:eastAsia="Calibri" w:hAnsi="Calibri"/>
                <w:b w:val="false"/>
                <w:bCs w:val="false"/>
                <w:color w:val="05070B"/>
                <w:sz w:val="19"/>
                <w:szCs w:val="19"/>
              </w:rPr>
              <w:t xml:space="preserve">Tiered pricing that can grow expensive at enterprise scale.</w:t>
            </w:r>
          </w:p>
        </w:tc>
        <w:tc>
          <w:tcPr>
            <w:tcW w:type="dxa" w:w="3940"/>
            <w:tcMar>
              <w:top w:type="dxa" w:w="100"/>
              <w:left w:type="dxa" w:w="120"/>
              <w:bottom w:type="dxa" w:w="100"/>
              <w:right w:type="dxa" w:w="120"/>
            </w:tcMar>
          </w:tcPr>
          <w:p>
            <w:r>
              <w:rPr>
                <w:rFonts w:ascii="Calibri" w:cs="Calibri" w:eastAsia="Calibri" w:hAnsi="Calibri"/>
                <w:b w:val="false"/>
                <w:bCs w:val="false"/>
                <w:color w:val="05070B"/>
                <w:sz w:val="19"/>
                <w:szCs w:val="19"/>
              </w:rPr>
              <w:t xml:space="preserve">Generally lower cost per agent at comparable feature tiers.</w:t>
            </w:r>
          </w:p>
        </w:tc>
      </w:tr>
      <w:tr>
        <w:tc>
          <w:tcPr>
            <w:tcW w:type="dxa" w:w="2200"/>
            <w:shd w:fill="F4F1EA" w:val="clear"/>
            <w:tcMar>
              <w:top w:type="dxa" w:w="100"/>
              <w:left w:type="dxa" w:w="120"/>
              <w:bottom w:type="dxa" w:w="100"/>
              <w:right w:type="dxa" w:w="120"/>
            </w:tcMar>
          </w:tcPr>
          <w:p>
            <w:r>
              <w:rPr>
                <w:rFonts w:ascii="Calibri" w:cs="Calibri" w:eastAsia="Calibri" w:hAnsi="Calibri"/>
                <w:b/>
                <w:bCs/>
                <w:color w:val="05070B"/>
                <w:sz w:val="19"/>
                <w:szCs w:val="19"/>
              </w:rPr>
              <w:t xml:space="preserve">Learning Curve</w:t>
            </w:r>
          </w:p>
        </w:tc>
        <w:tc>
          <w:tcPr>
            <w:tcW w:type="dxa" w:w="3940"/>
            <w:tcMar>
              <w:top w:type="dxa" w:w="100"/>
              <w:left w:type="dxa" w:w="120"/>
              <w:bottom w:type="dxa" w:w="100"/>
              <w:right w:type="dxa" w:w="120"/>
            </w:tcMar>
          </w:tcPr>
          <w:p>
            <w:r>
              <w:rPr>
                <w:rFonts w:ascii="Calibri" w:cs="Calibri" w:eastAsia="Calibri" w:hAnsi="Calibri"/>
                <w:b w:val="false"/>
                <w:bCs w:val="false"/>
                <w:color w:val="05070B"/>
                <w:sz w:val="19"/>
                <w:szCs w:val="19"/>
              </w:rPr>
              <w:t xml:space="preserve">Moderate to steep for full configuration and customization.</w:t>
            </w:r>
          </w:p>
        </w:tc>
        <w:tc>
          <w:tcPr>
            <w:tcW w:type="dxa" w:w="3940"/>
            <w:tcMar>
              <w:top w:type="dxa" w:w="100"/>
              <w:left w:type="dxa" w:w="120"/>
              <w:bottom w:type="dxa" w:w="100"/>
              <w:right w:type="dxa" w:w="120"/>
            </w:tcMar>
          </w:tcPr>
          <w:p>
            <w:r>
              <w:rPr>
                <w:rFonts w:ascii="Calibri" w:cs="Calibri" w:eastAsia="Calibri" w:hAnsi="Calibri"/>
                <w:b w:val="false"/>
                <w:bCs w:val="false"/>
                <w:color w:val="05070B"/>
                <w:sz w:val="19"/>
                <w:szCs w:val="19"/>
              </w:rPr>
              <w:t xml:space="preserve">Low to moderate — designed for faster onboarding.</w:t>
            </w:r>
          </w:p>
        </w:tc>
      </w:tr>
      <w:tr>
        <w:tc>
          <w:tcPr>
            <w:tcW w:type="dxa" w:w="2200"/>
            <w:shd w:fill="F4F1EA" w:val="clear"/>
            <w:tcMar>
              <w:top w:type="dxa" w:w="100"/>
              <w:left w:type="dxa" w:w="120"/>
              <w:bottom w:type="dxa" w:w="100"/>
              <w:right w:type="dxa" w:w="120"/>
            </w:tcMar>
          </w:tcPr>
          <w:p>
            <w:r>
              <w:rPr>
                <w:rFonts w:ascii="Calibri" w:cs="Calibri" w:eastAsia="Calibri" w:hAnsi="Calibri"/>
                <w:b/>
                <w:bCs/>
                <w:color w:val="05070B"/>
                <w:sz w:val="19"/>
                <w:szCs w:val="19"/>
              </w:rPr>
              <w:t xml:space="preserve">Customization</w:t>
            </w:r>
          </w:p>
        </w:tc>
        <w:tc>
          <w:tcPr>
            <w:tcW w:type="dxa" w:w="3940"/>
            <w:tcMar>
              <w:top w:type="dxa" w:w="100"/>
              <w:left w:type="dxa" w:w="120"/>
              <w:bottom w:type="dxa" w:w="100"/>
              <w:right w:type="dxa" w:w="120"/>
            </w:tcMar>
          </w:tcPr>
          <w:p>
            <w:r>
              <w:rPr>
                <w:rFonts w:ascii="Calibri" w:cs="Calibri" w:eastAsia="Calibri" w:hAnsi="Calibri"/>
                <w:b w:val="false"/>
                <w:bCs w:val="false"/>
                <w:color w:val="05070B"/>
                <w:sz w:val="19"/>
                <w:szCs w:val="19"/>
              </w:rPr>
              <w:t xml:space="preserve">Very deep customization and workflow control.</w:t>
            </w:r>
          </w:p>
        </w:tc>
        <w:tc>
          <w:tcPr>
            <w:tcW w:type="dxa" w:w="3940"/>
            <w:tcMar>
              <w:top w:type="dxa" w:w="100"/>
              <w:left w:type="dxa" w:w="120"/>
              <w:bottom w:type="dxa" w:w="100"/>
              <w:right w:type="dxa" w:w="120"/>
            </w:tcMar>
          </w:tcPr>
          <w:p>
            <w:r>
              <w:rPr>
                <w:rFonts w:ascii="Calibri" w:cs="Calibri" w:eastAsia="Calibri" w:hAnsi="Calibri"/>
                <w:b w:val="false"/>
                <w:bCs w:val="false"/>
                <w:color w:val="05070B"/>
                <w:sz w:val="19"/>
                <w:szCs w:val="19"/>
              </w:rPr>
              <w:t xml:space="preserve">Solid customization, though less extensive than Zendesk's.</w:t>
            </w:r>
          </w:p>
        </w:tc>
      </w:tr>
      <w:tr>
        <w:tc>
          <w:tcPr>
            <w:tcW w:type="dxa" w:w="2200"/>
            <w:shd w:fill="F4F1EA" w:val="clear"/>
            <w:tcMar>
              <w:top w:type="dxa" w:w="100"/>
              <w:left w:type="dxa" w:w="120"/>
              <w:bottom w:type="dxa" w:w="100"/>
              <w:right w:type="dxa" w:w="120"/>
            </w:tcMar>
          </w:tcPr>
          <w:p>
            <w:r>
              <w:rPr>
                <w:rFonts w:ascii="Calibri" w:cs="Calibri" w:eastAsia="Calibri" w:hAnsi="Calibri"/>
                <w:b/>
                <w:bCs/>
                <w:color w:val="05070B"/>
                <w:sz w:val="19"/>
                <w:szCs w:val="19"/>
              </w:rPr>
              <w:t xml:space="preserve">Automation</w:t>
            </w:r>
          </w:p>
        </w:tc>
        <w:tc>
          <w:tcPr>
            <w:tcW w:type="dxa" w:w="3940"/>
            <w:tcMar>
              <w:top w:type="dxa" w:w="100"/>
              <w:left w:type="dxa" w:w="120"/>
              <w:bottom w:type="dxa" w:w="100"/>
              <w:right w:type="dxa" w:w="120"/>
            </w:tcMar>
          </w:tcPr>
          <w:p>
            <w:r>
              <w:rPr>
                <w:rFonts w:ascii="Calibri" w:cs="Calibri" w:eastAsia="Calibri" w:hAnsi="Calibri"/>
                <w:b w:val="false"/>
                <w:bCs w:val="false"/>
                <w:color w:val="05070B"/>
                <w:sz w:val="19"/>
                <w:szCs w:val="19"/>
              </w:rPr>
              <w:t xml:space="preserve">Strong ticket automation and AI-assisted routing on higher tiers.</w:t>
            </w:r>
          </w:p>
        </w:tc>
        <w:tc>
          <w:tcPr>
            <w:tcW w:type="dxa" w:w="3940"/>
            <w:tcMar>
              <w:top w:type="dxa" w:w="100"/>
              <w:left w:type="dxa" w:w="120"/>
              <w:bottom w:type="dxa" w:w="100"/>
              <w:right w:type="dxa" w:w="120"/>
            </w:tcMar>
          </w:tcPr>
          <w:p>
            <w:r>
              <w:rPr>
                <w:rFonts w:ascii="Calibri" w:cs="Calibri" w:eastAsia="Calibri" w:hAnsi="Calibri"/>
                <w:b w:val="false"/>
                <w:bCs w:val="false"/>
                <w:color w:val="05070B"/>
                <w:sz w:val="19"/>
                <w:szCs w:val="19"/>
              </w:rPr>
              <w:t xml:space="preserve">Capable automation, competitive with Zendesk at a lower price point.</w:t>
            </w:r>
          </w:p>
        </w:tc>
      </w:tr>
      <w:tr>
        <w:tc>
          <w:tcPr>
            <w:tcW w:type="dxa" w:w="2200"/>
            <w:shd w:fill="F4F1EA" w:val="clear"/>
            <w:tcMar>
              <w:top w:type="dxa" w:w="100"/>
              <w:left w:type="dxa" w:w="120"/>
              <w:bottom w:type="dxa" w:w="100"/>
              <w:right w:type="dxa" w:w="120"/>
            </w:tcMar>
          </w:tcPr>
          <w:p>
            <w:r>
              <w:rPr>
                <w:rFonts w:ascii="Calibri" w:cs="Calibri" w:eastAsia="Calibri" w:hAnsi="Calibri"/>
                <w:b/>
                <w:bCs/>
                <w:color w:val="05070B"/>
                <w:sz w:val="19"/>
                <w:szCs w:val="19"/>
              </w:rPr>
              <w:t xml:space="preserve">Where It Falls Short</w:t>
            </w:r>
          </w:p>
        </w:tc>
        <w:tc>
          <w:tcPr>
            <w:tcW w:type="dxa" w:w="3940"/>
            <w:tcMar>
              <w:top w:type="dxa" w:w="100"/>
              <w:left w:type="dxa" w:w="120"/>
              <w:bottom w:type="dxa" w:w="100"/>
              <w:right w:type="dxa" w:w="120"/>
            </w:tcMar>
          </w:tcPr>
          <w:p>
            <w:r>
              <w:rPr>
                <w:rFonts w:ascii="Calibri" w:cs="Calibri" w:eastAsia="Calibri" w:hAnsi="Calibri"/>
                <w:b w:val="false"/>
                <w:bCs w:val="false"/>
                <w:color w:val="05070B"/>
                <w:sz w:val="19"/>
                <w:szCs w:val="19"/>
              </w:rPr>
              <w:t xml:space="preserve">Cost and complexity can outpace what smaller teams actually need.</w:t>
            </w:r>
          </w:p>
        </w:tc>
        <w:tc>
          <w:tcPr>
            <w:tcW w:type="dxa" w:w="3940"/>
            <w:tcMar>
              <w:top w:type="dxa" w:w="100"/>
              <w:left w:type="dxa" w:w="120"/>
              <w:bottom w:type="dxa" w:w="100"/>
              <w:right w:type="dxa" w:w="120"/>
            </w:tcMar>
          </w:tcPr>
          <w:p>
            <w:r>
              <w:rPr>
                <w:rFonts w:ascii="Calibri" w:cs="Calibri" w:eastAsia="Calibri" w:hAnsi="Calibri"/>
                <w:b w:val="false"/>
                <w:bCs w:val="false"/>
                <w:color w:val="05070B"/>
                <w:sz w:val="19"/>
                <w:szCs w:val="19"/>
              </w:rPr>
              <w:t xml:space="preserve">Fewer enterprise-grade features for very large, complex support operations.</w:t>
            </w:r>
          </w:p>
        </w:tc>
      </w:tr>
    </w:tbl>
    <w:p>
      <w:pPr>
        <w:spacing w:after="100" w:before="260"/>
      </w:pPr>
      <w:r>
        <w:rPr>
          <w:rFonts w:ascii="Georgia" w:cs="Georgia" w:eastAsia="Georgia" w:hAnsi="Georgia"/>
          <w:b/>
          <w:bCs/>
          <w:color w:val="05070B"/>
          <w:sz w:val="26"/>
          <w:szCs w:val="26"/>
        </w:rPr>
        <w:t xml:space="preserve">Bottom Line</w:t>
      </w:r>
    </w:p>
    <w:p>
      <w:pPr>
        <w:spacing w:after="160"/>
      </w:pPr>
      <w:r>
        <w:rPr>
          <w:rFonts w:ascii="Calibri" w:cs="Calibri" w:eastAsia="Calibri" w:hAnsi="Calibri"/>
          <w:b w:val="false"/>
          <w:bCs w:val="false"/>
          <w:color w:val="05070B"/>
          <w:sz w:val="21"/>
          <w:szCs w:val="21"/>
        </w:rPr>
        <w:t xml:space="preserve">Choose Zendesk when the support operation is large, complex, and needs deep customization or enterprise reporting. Choose Freshdesk when the team wants strong core help desk functionality without enterprise-level cost.</w:t>
      </w:r>
    </w:p>
    <w:p>
      <w:pPr>
        <w:spacing w:after="100" w:before="260"/>
      </w:pPr>
      <w:r>
        <w:rPr>
          <w:rFonts w:ascii="Georgia" w:cs="Georgia" w:eastAsia="Georgia" w:hAnsi="Georgia"/>
          <w:b/>
          <w:bCs/>
          <w:color w:val="05070B"/>
          <w:sz w:val="26"/>
          <w:szCs w:val="26"/>
        </w:rPr>
        <w:t xml:space="preserve">Ask Before You Buy</w:t>
      </w:r>
    </w:p>
    <w:p>
      <w:pPr>
        <w:pStyle w:val="ListParagraph"/>
        <w:numPr>
          <w:ilvl w:val="0"/>
          <w:numId w:val="1"/>
        </w:numPr>
        <w:spacing w:after="60"/>
      </w:pPr>
      <w:r>
        <w:rPr>
          <w:rFonts w:ascii="Calibri" w:cs="Calibri" w:eastAsia="Calibri" w:hAnsi="Calibri"/>
          <w:color w:val="05070B"/>
          <w:sz w:val="21"/>
          <w:szCs w:val="21"/>
        </w:rPr>
        <w:t xml:space="preserve">Match plan tier to actual agent count and ticket volume, not aspirational scale.</w:t>
      </w:r>
    </w:p>
    <w:p>
      <w:pPr>
        <w:pStyle w:val="ListParagraph"/>
        <w:numPr>
          <w:ilvl w:val="0"/>
          <w:numId w:val="1"/>
        </w:numPr>
        <w:spacing w:after="60"/>
      </w:pPr>
      <w:r>
        <w:rPr>
          <w:rFonts w:ascii="Calibri" w:cs="Calibri" w:eastAsia="Calibri" w:hAnsi="Calibri"/>
          <w:color w:val="05070B"/>
          <w:sz w:val="21"/>
          <w:szCs w:val="21"/>
        </w:rPr>
        <w:t xml:space="preserve">Test automation and routing rules with your real ticket categories before committing.</w:t>
      </w:r>
    </w:p>
    <w:p>
      <w:pPr>
        <w:pStyle w:val="ListParagraph"/>
        <w:numPr>
          <w:ilvl w:val="0"/>
          <w:numId w:val="1"/>
        </w:numPr>
        <w:spacing w:after="60"/>
      </w:pPr>
      <w:r>
        <w:rPr>
          <w:rFonts w:ascii="Calibri" w:cs="Calibri" w:eastAsia="Calibri" w:hAnsi="Calibri"/>
          <w:color w:val="05070B"/>
          <w:sz w:val="21"/>
          <w:szCs w:val="21"/>
        </w:rPr>
        <w:t xml:space="preserve">Confirm channel coverage (chat, social, phone) matches where your customers actually reach out.</w:t>
      </w:r>
    </w:p>
    <w:p>
      <w:pPr>
        <w:pBdr>
          <w:top w:val="single" w:color="D9DCE3" w:sz="4" w:space="8"/>
        </w:pBdr>
        <w:spacing w:before="300"/>
      </w:pPr>
      <w:r>
        <w:rPr>
          <w:rFonts w:ascii="Calibri" w:cs="Calibri" w:eastAsia="Calibri" w:hAnsi="Calibri"/>
          <w:i/>
          <w:iCs/>
          <w:color w:val="5B6472"/>
          <w:sz w:val="16"/>
          <w:szCs w:val="16"/>
        </w:rPr>
        <w:t xml:space="preserve">Infinite Way Ventures — InnovateTek Solutions comparison brief. Pricing and features change; verify current details directly with each vendor before purchase.</w:t>
      </w:r>
    </w:p>
    <w:sectPr>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2026-08-16T00:46:15.518Z</dcterms:created>
  <dcterms:modified xsi:type="dcterms:W3CDTF">2026-08-16T00:46:15.518Z</dcterms:modified>
</cp:coreProperties>
</file>

<file path=docProps/custom.xml><?xml version="1.0" encoding="utf-8"?>
<Properties xmlns="http://schemas.openxmlformats.org/officeDocument/2006/custom-properties" xmlns:vt="http://schemas.openxmlformats.org/officeDocument/2006/docPropsVTypes"/>
</file>