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C9A24B"/>
          <w:spacing w:val="20"/>
          <w:sz w:val="16"/>
          <w:szCs w:val="16"/>
        </w:rPr>
        <w:t xml:space="preserve">COMPARISON BRIEF — CRM / SALES &amp; MARKETING</w:t>
      </w:r>
    </w:p>
    <w:p>
      <w:pPr>
        <w:spacing w:after="60"/>
      </w:pPr>
      <w:r>
        <w:rPr>
          <w:rFonts w:ascii="Georgia" w:cs="Georgia" w:eastAsia="Georgia" w:hAnsi="Georgia"/>
          <w:b/>
          <w:bCs/>
          <w:color w:val="05070B"/>
          <w:sz w:val="44"/>
          <w:szCs w:val="44"/>
        </w:rPr>
        <w:t xml:space="preserve">HubSpot vs GoHighLevel</w:t>
      </w:r>
    </w:p>
    <w:p>
      <w:pPr>
        <w:pBdr>
          <w:bottom w:val="single" w:color="C9A24B" w:sz="12" w:space="8"/>
        </w:pBdr>
        <w:spacing w:after="200"/>
      </w:pPr>
      <w:r>
        <w:rPr>
          <w:rFonts w:ascii="Calibri" w:cs="Calibri" w:eastAsia="Calibri" w:hAnsi="Calibri"/>
          <w:i/>
          <w:iCs/>
          <w:color w:val="5B6472"/>
          <w:sz w:val="22"/>
          <w:szCs w:val="22"/>
        </w:rPr>
        <w:t xml:space="preserve">Both platforms manage contacts, pipelines, and marketing automation, but they are built for different buyers. HubSpot is a mature CRM ecosystem with deep native tools and a large app marketplace. GoHighLevel is an all-in-one agency platform designed to replace five or six point tools at once, including funnel and website building.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940"/>
        <w:gridCol w:w="3940"/>
      </w:tblGrid>
      <w:tr>
        <w:trPr>
          <w:tblHeader/>
        </w:trPr>
        <w:tc>
          <w:tcPr>
            <w:tcW w:type="dxa" w:w="2200"/>
            <w:shd w:fill="05070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3940"/>
            <w:shd w:fill="38A8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HubSpot</w:t>
            </w:r>
          </w:p>
        </w:tc>
        <w:tc>
          <w:tcPr>
            <w:tcW w:type="dxa" w:w="3940"/>
            <w:shd w:fill="C9A24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GoHighLevel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Best For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Businesses that want a proven CRM ecosystem with room to add specialized tools over time.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Agencies and operators who want funnels, CRM, calendar, and reputation tools bundled under one login.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Pricing Model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Per-seat pricing that scales with contacts and add-on hubs; can grow expensive at scale.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Flat platform pricing with unlimited sub-accounts on higher tiers; better for agencies reselling access.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Learning Curve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Moderate — extensive documentation and a large trained-user base.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Steeper at first — more modules to configure, less standardized onboarding.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Integration Depth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Very strong native integrations and a large third-party app marketplace.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Solid built-in tooling but a smaller external integration ecosystem.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Reporting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Best-in-class dashboards and attribution reporting out of the box.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Functional reporting; typically less polished than HubSpot's.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Where It Falls Short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Cost climbs quickly as contacts, seats, and hubs are added.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Can feel like a Swiss Army knife — broad, but individual modules are less refined than dedicated tools.</w:t>
            </w:r>
          </w:p>
        </w:tc>
      </w:tr>
    </w:tbl>
    <w:p>
      <w:pPr>
        <w:spacing w:after="100" w:before="260"/>
      </w:pPr>
      <w:r>
        <w:rPr>
          <w:rFonts w:ascii="Georgia" w:cs="Georgia" w:eastAsia="Georgia" w:hAnsi="Georgia"/>
          <w:b/>
          <w:bCs/>
          <w:color w:val="05070B"/>
          <w:sz w:val="26"/>
          <w:szCs w:val="26"/>
        </w:rPr>
        <w:t xml:space="preserve">Bottom Line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05070B"/>
          <w:sz w:val="21"/>
          <w:szCs w:val="21"/>
        </w:rPr>
        <w:t xml:space="preserve">Choose HubSpot when reporting, ecosystem maturity, and long-term scalability matter more than upfront cost. Choose GoHighLevel when the priority is consolidating multiple tools into one flat-rate platform, especially for agencies managing several client accounts.</w:t>
      </w:r>
    </w:p>
    <w:p>
      <w:pPr>
        <w:spacing w:after="100" w:before="260"/>
      </w:pPr>
      <w:r>
        <w:rPr>
          <w:rFonts w:ascii="Georgia" w:cs="Georgia" w:eastAsia="Georgia" w:hAnsi="Georgia"/>
          <w:b/>
          <w:bCs/>
          <w:color w:val="05070B"/>
          <w:sz w:val="26"/>
          <w:szCs w:val="26"/>
        </w:rPr>
        <w:t xml:space="preserve">Ask Before You Buy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Confirm current pricing tiers directly with each vendor — both change frequently.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Map your actual contact volume and seat count before comparing sticker price.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Test the funnel/landing-page builder on GoHighLevel if that is a stated need — it is a core differentiator.</w:t>
      </w:r>
    </w:p>
    <w:p>
      <w:pPr>
        <w:pBdr>
          <w:top w:val="single" w:color="D9DCE3" w:sz="4" w:space="8"/>
        </w:pBdr>
        <w:spacing w:before="300"/>
      </w:pPr>
      <w:r>
        <w:rPr>
          <w:rFonts w:ascii="Calibri" w:cs="Calibri" w:eastAsia="Calibri" w:hAnsi="Calibri"/>
          <w:i/>
          <w:iCs/>
          <w:color w:val="5B6472"/>
          <w:sz w:val="16"/>
          <w:szCs w:val="16"/>
        </w:rPr>
        <w:t xml:space="preserve">Infinite Way Ventures — InnovateTek Solutions comparison brief. Pricing and features change; verify current details directly with each vendor before purchase.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2026-08-16T00:46:14.786Z</dcterms:created>
  <dcterms:modified xsi:type="dcterms:W3CDTF">2026-08-16T00:46:14.799Z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