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color w:val="C9A24B"/>
          <w:spacing w:val="20"/>
          <w:sz w:val="16"/>
          <w:szCs w:val="16"/>
        </w:rPr>
        <w:t xml:space="preserve">COMPARISON BRIEF — ACCOUNTING</w:t>
      </w:r>
    </w:p>
    <w:p>
      <w:pPr>
        <w:spacing w:after="60"/>
      </w:pPr>
      <w:r>
        <w:rPr>
          <w:rFonts w:ascii="Georgia" w:cs="Georgia" w:eastAsia="Georgia" w:hAnsi="Georgia"/>
          <w:b/>
          <w:bCs/>
          <w:color w:val="05070B"/>
          <w:sz w:val="44"/>
          <w:szCs w:val="44"/>
        </w:rPr>
        <w:t xml:space="preserve">FreshBooks vs QuickBooks</w:t>
      </w:r>
    </w:p>
    <w:p>
      <w:pPr>
        <w:pBdr>
          <w:bottom w:val="single" w:color="C9A24B" w:sz="12" w:space="8"/>
        </w:pBdr>
        <w:spacing w:after="200"/>
      </w:pPr>
      <w:r>
        <w:rPr>
          <w:rFonts w:ascii="Calibri" w:cs="Calibri" w:eastAsia="Calibri" w:hAnsi="Calibri"/>
          <w:i/>
          <w:iCs/>
          <w:color w:val="5B6472"/>
          <w:sz w:val="22"/>
          <w:szCs w:val="22"/>
        </w:rPr>
        <w:t xml:space="preserve">Both handle invoicing and bookkeeping, but they serve different scales of business. FreshBooks is built for freelancers and very small service businesses with simple needs. QuickBooks scales further into full double-entry accounting for growing companies.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200"/>
        <w:gridCol w:w="3940"/>
        <w:gridCol w:w="3940"/>
      </w:tblGrid>
      <w:tr>
        <w:trPr>
          <w:tblHeader/>
        </w:trPr>
        <w:tc>
          <w:tcPr>
            <w:tcW w:type="dxa" w:w="2200"/>
            <w:shd w:fill="05070B" w:val="clear"/>
            <w:tcMar>
              <w:top w:type="dxa" w:w="100"/>
              <w:left w:type="dxa" w:w="120"/>
              <w:bottom w:type="dxa" w:w="100"/>
              <w:right w:type="dxa" w:w="120"/>
            </w:tcMar>
          </w:tcPr>
          <w:p>
            <w:r>
              <w:rPr>
                <w:rFonts w:ascii="Calibri" w:cs="Calibri" w:eastAsia="Calibri" w:hAnsi="Calibri"/>
                <w:b/>
                <w:bCs/>
                <w:color w:val="FFFFFF"/>
                <w:sz w:val="19"/>
                <w:szCs w:val="19"/>
              </w:rPr>
              <w:t xml:space="preserve">Criterion</w:t>
            </w:r>
          </w:p>
        </w:tc>
        <w:tc>
          <w:tcPr>
            <w:tcW w:type="dxa" w:w="3940"/>
            <w:shd w:fill="38A8E8" w:val="clear"/>
            <w:tcMar>
              <w:top w:type="dxa" w:w="100"/>
              <w:left w:type="dxa" w:w="120"/>
              <w:bottom w:type="dxa" w:w="100"/>
              <w:right w:type="dxa" w:w="120"/>
            </w:tcMar>
          </w:tcPr>
          <w:p>
            <w:r>
              <w:rPr>
                <w:rFonts w:ascii="Calibri" w:cs="Calibri" w:eastAsia="Calibri" w:hAnsi="Calibri"/>
                <w:b/>
                <w:bCs/>
                <w:color w:val="FFFFFF"/>
                <w:sz w:val="19"/>
                <w:szCs w:val="19"/>
              </w:rPr>
              <w:t xml:space="preserve">FreshBooks</w:t>
            </w:r>
          </w:p>
        </w:tc>
        <w:tc>
          <w:tcPr>
            <w:tcW w:type="dxa" w:w="3940"/>
            <w:shd w:fill="C9A24B" w:val="clear"/>
            <w:tcMar>
              <w:top w:type="dxa" w:w="100"/>
              <w:left w:type="dxa" w:w="120"/>
              <w:bottom w:type="dxa" w:w="100"/>
              <w:right w:type="dxa" w:w="120"/>
            </w:tcMar>
          </w:tcPr>
          <w:p>
            <w:r>
              <w:rPr>
                <w:rFonts w:ascii="Calibri" w:cs="Calibri" w:eastAsia="Calibri" w:hAnsi="Calibri"/>
                <w:b/>
                <w:bCs/>
                <w:color w:val="FFFFFF"/>
                <w:sz w:val="19"/>
                <w:szCs w:val="19"/>
              </w:rPr>
              <w:t xml:space="preserve">QuickBooks</w:t>
            </w:r>
          </w:p>
        </w:tc>
      </w:tr>
      <w:tr>
        <w:tc>
          <w:tcPr>
            <w:tcW w:type="dxa" w:w="2200"/>
            <w:shd w:fill="F4F1EA" w:val="clear"/>
            <w:tcMar>
              <w:top w:type="dxa" w:w="100"/>
              <w:left w:type="dxa" w:w="120"/>
              <w:bottom w:type="dxa" w:w="100"/>
              <w:right w:type="dxa" w:w="120"/>
            </w:tcMar>
          </w:tcPr>
          <w:p>
            <w:r>
              <w:rPr>
                <w:rFonts w:ascii="Calibri" w:cs="Calibri" w:eastAsia="Calibri" w:hAnsi="Calibri"/>
                <w:b/>
                <w:bCs/>
                <w:color w:val="05070B"/>
                <w:sz w:val="19"/>
                <w:szCs w:val="19"/>
              </w:rPr>
              <w:t xml:space="preserve">Best For</w:t>
            </w:r>
          </w:p>
        </w:tc>
        <w:tc>
          <w:tcPr>
            <w:tcW w:type="dxa" w:w="3940"/>
            <w:tcMar>
              <w:top w:type="dxa" w:w="100"/>
              <w:left w:type="dxa" w:w="120"/>
              <w:bottom w:type="dxa" w:w="100"/>
              <w:right w:type="dxa" w:w="120"/>
            </w:tcMar>
          </w:tcPr>
          <w:p>
            <w:r>
              <w:rPr>
                <w:rFonts w:ascii="Calibri" w:cs="Calibri" w:eastAsia="Calibri" w:hAnsi="Calibri"/>
                <w:b w:val="false"/>
                <w:bCs w:val="false"/>
                <w:color w:val="05070B"/>
                <w:sz w:val="19"/>
                <w:szCs w:val="19"/>
              </w:rPr>
              <w:t xml:space="preserve">Freelancers and small service businesses focused on invoicing and time tracking.</w:t>
            </w:r>
          </w:p>
        </w:tc>
        <w:tc>
          <w:tcPr>
            <w:tcW w:type="dxa" w:w="3940"/>
            <w:tcMar>
              <w:top w:type="dxa" w:w="100"/>
              <w:left w:type="dxa" w:w="120"/>
              <w:bottom w:type="dxa" w:w="100"/>
              <w:right w:type="dxa" w:w="120"/>
            </w:tcMar>
          </w:tcPr>
          <w:p>
            <w:r>
              <w:rPr>
                <w:rFonts w:ascii="Calibri" w:cs="Calibri" w:eastAsia="Calibri" w:hAnsi="Calibri"/>
                <w:b w:val="false"/>
                <w:bCs w:val="false"/>
                <w:color w:val="05070B"/>
                <w:sz w:val="19"/>
                <w:szCs w:val="19"/>
              </w:rPr>
              <w:t xml:space="preserve">Growing businesses that need full accounting, inventory, and payroll capability.</w:t>
            </w:r>
          </w:p>
        </w:tc>
      </w:tr>
      <w:tr>
        <w:tc>
          <w:tcPr>
            <w:tcW w:type="dxa" w:w="2200"/>
            <w:shd w:fill="F4F1EA" w:val="clear"/>
            <w:tcMar>
              <w:top w:type="dxa" w:w="100"/>
              <w:left w:type="dxa" w:w="120"/>
              <w:bottom w:type="dxa" w:w="100"/>
              <w:right w:type="dxa" w:w="120"/>
            </w:tcMar>
          </w:tcPr>
          <w:p>
            <w:r>
              <w:rPr>
                <w:rFonts w:ascii="Calibri" w:cs="Calibri" w:eastAsia="Calibri" w:hAnsi="Calibri"/>
                <w:b/>
                <w:bCs/>
                <w:color w:val="05070B"/>
                <w:sz w:val="19"/>
                <w:szCs w:val="19"/>
              </w:rPr>
              <w:t xml:space="preserve">Pricing Model</w:t>
            </w:r>
          </w:p>
        </w:tc>
        <w:tc>
          <w:tcPr>
            <w:tcW w:type="dxa" w:w="3940"/>
            <w:tcMar>
              <w:top w:type="dxa" w:w="100"/>
              <w:left w:type="dxa" w:w="120"/>
              <w:bottom w:type="dxa" w:w="100"/>
              <w:right w:type="dxa" w:w="120"/>
            </w:tcMar>
          </w:tcPr>
          <w:p>
            <w:r>
              <w:rPr>
                <w:rFonts w:ascii="Calibri" w:cs="Calibri" w:eastAsia="Calibri" w:hAnsi="Calibri"/>
                <w:b w:val="false"/>
                <w:bCs w:val="false"/>
                <w:color w:val="05070B"/>
                <w:sz w:val="19"/>
                <w:szCs w:val="19"/>
              </w:rPr>
              <w:t xml:space="preserve">Simple, affordable tiers based on client count.</w:t>
            </w:r>
          </w:p>
        </w:tc>
        <w:tc>
          <w:tcPr>
            <w:tcW w:type="dxa" w:w="3940"/>
            <w:tcMar>
              <w:top w:type="dxa" w:w="100"/>
              <w:left w:type="dxa" w:w="120"/>
              <w:bottom w:type="dxa" w:w="100"/>
              <w:right w:type="dxa" w:w="120"/>
            </w:tcMar>
          </w:tcPr>
          <w:p>
            <w:r>
              <w:rPr>
                <w:rFonts w:ascii="Calibri" w:cs="Calibri" w:eastAsia="Calibri" w:hAnsi="Calibri"/>
                <w:b w:val="false"/>
                <w:bCs w:val="false"/>
                <w:color w:val="05070B"/>
                <w:sz w:val="19"/>
                <w:szCs w:val="19"/>
              </w:rPr>
              <w:t xml:space="preserve">Tiered pricing based on features and users, generally higher at comparable tiers.</w:t>
            </w:r>
          </w:p>
        </w:tc>
      </w:tr>
      <w:tr>
        <w:tc>
          <w:tcPr>
            <w:tcW w:type="dxa" w:w="2200"/>
            <w:shd w:fill="F4F1EA" w:val="clear"/>
            <w:tcMar>
              <w:top w:type="dxa" w:w="100"/>
              <w:left w:type="dxa" w:w="120"/>
              <w:bottom w:type="dxa" w:w="100"/>
              <w:right w:type="dxa" w:w="120"/>
            </w:tcMar>
          </w:tcPr>
          <w:p>
            <w:r>
              <w:rPr>
                <w:rFonts w:ascii="Calibri" w:cs="Calibri" w:eastAsia="Calibri" w:hAnsi="Calibri"/>
                <w:b/>
                <w:bCs/>
                <w:color w:val="05070B"/>
                <w:sz w:val="19"/>
                <w:szCs w:val="19"/>
              </w:rPr>
              <w:t xml:space="preserve">Learning Curve</w:t>
            </w:r>
          </w:p>
        </w:tc>
        <w:tc>
          <w:tcPr>
            <w:tcW w:type="dxa" w:w="3940"/>
            <w:tcMar>
              <w:top w:type="dxa" w:w="100"/>
              <w:left w:type="dxa" w:w="120"/>
              <w:bottom w:type="dxa" w:w="100"/>
              <w:right w:type="dxa" w:w="120"/>
            </w:tcMar>
          </w:tcPr>
          <w:p>
            <w:r>
              <w:rPr>
                <w:rFonts w:ascii="Calibri" w:cs="Calibri" w:eastAsia="Calibri" w:hAnsi="Calibri"/>
                <w:b w:val="false"/>
                <w:bCs w:val="false"/>
                <w:color w:val="05070B"/>
                <w:sz w:val="19"/>
                <w:szCs w:val="19"/>
              </w:rPr>
              <w:t xml:space="preserve">Very low — built for non-accountants.</w:t>
            </w:r>
          </w:p>
        </w:tc>
        <w:tc>
          <w:tcPr>
            <w:tcW w:type="dxa" w:w="3940"/>
            <w:tcMar>
              <w:top w:type="dxa" w:w="100"/>
              <w:left w:type="dxa" w:w="120"/>
              <w:bottom w:type="dxa" w:w="100"/>
              <w:right w:type="dxa" w:w="120"/>
            </w:tcMar>
          </w:tcPr>
          <w:p>
            <w:r>
              <w:rPr>
                <w:rFonts w:ascii="Calibri" w:cs="Calibri" w:eastAsia="Calibri" w:hAnsi="Calibri"/>
                <w:b w:val="false"/>
                <w:bCs w:val="false"/>
                <w:color w:val="05070B"/>
                <w:sz w:val="19"/>
                <w:szCs w:val="19"/>
              </w:rPr>
              <w:t xml:space="preserve">Moderate — more powerful, but more to learn.</w:t>
            </w:r>
          </w:p>
        </w:tc>
      </w:tr>
      <w:tr>
        <w:tc>
          <w:tcPr>
            <w:tcW w:type="dxa" w:w="2200"/>
            <w:shd w:fill="F4F1EA" w:val="clear"/>
            <w:tcMar>
              <w:top w:type="dxa" w:w="100"/>
              <w:left w:type="dxa" w:w="120"/>
              <w:bottom w:type="dxa" w:w="100"/>
              <w:right w:type="dxa" w:w="120"/>
            </w:tcMar>
          </w:tcPr>
          <w:p>
            <w:r>
              <w:rPr>
                <w:rFonts w:ascii="Calibri" w:cs="Calibri" w:eastAsia="Calibri" w:hAnsi="Calibri"/>
                <w:b/>
                <w:bCs/>
                <w:color w:val="05070B"/>
                <w:sz w:val="19"/>
                <w:szCs w:val="19"/>
              </w:rPr>
              <w:t xml:space="preserve">Invoicing &amp; Time Tracking</w:t>
            </w:r>
          </w:p>
        </w:tc>
        <w:tc>
          <w:tcPr>
            <w:tcW w:type="dxa" w:w="3940"/>
            <w:tcMar>
              <w:top w:type="dxa" w:w="100"/>
              <w:left w:type="dxa" w:w="120"/>
              <w:bottom w:type="dxa" w:w="100"/>
              <w:right w:type="dxa" w:w="120"/>
            </w:tcMar>
          </w:tcPr>
          <w:p>
            <w:r>
              <w:rPr>
                <w:rFonts w:ascii="Calibri" w:cs="Calibri" w:eastAsia="Calibri" w:hAnsi="Calibri"/>
                <w:b w:val="false"/>
                <w:bCs w:val="false"/>
                <w:color w:val="05070B"/>
                <w:sz w:val="19"/>
                <w:szCs w:val="19"/>
              </w:rPr>
              <w:t xml:space="preserve">Excellent, streamlined invoicing and time tracking built for service providers.</w:t>
            </w:r>
          </w:p>
        </w:tc>
        <w:tc>
          <w:tcPr>
            <w:tcW w:type="dxa" w:w="3940"/>
            <w:tcMar>
              <w:top w:type="dxa" w:w="100"/>
              <w:left w:type="dxa" w:w="120"/>
              <w:bottom w:type="dxa" w:w="100"/>
              <w:right w:type="dxa" w:w="120"/>
            </w:tcMar>
          </w:tcPr>
          <w:p>
            <w:r>
              <w:rPr>
                <w:rFonts w:ascii="Calibri" w:cs="Calibri" w:eastAsia="Calibri" w:hAnsi="Calibri"/>
                <w:b w:val="false"/>
                <w:bCs w:val="false"/>
                <w:color w:val="05070B"/>
                <w:sz w:val="19"/>
                <w:szCs w:val="19"/>
              </w:rPr>
              <w:t xml:space="preserve">Solid invoicing, though less specialized for time-based billing.</w:t>
            </w:r>
          </w:p>
        </w:tc>
      </w:tr>
      <w:tr>
        <w:tc>
          <w:tcPr>
            <w:tcW w:type="dxa" w:w="2200"/>
            <w:shd w:fill="F4F1EA" w:val="clear"/>
            <w:tcMar>
              <w:top w:type="dxa" w:w="100"/>
              <w:left w:type="dxa" w:w="120"/>
              <w:bottom w:type="dxa" w:w="100"/>
              <w:right w:type="dxa" w:w="120"/>
            </w:tcMar>
          </w:tcPr>
          <w:p>
            <w:r>
              <w:rPr>
                <w:rFonts w:ascii="Calibri" w:cs="Calibri" w:eastAsia="Calibri" w:hAnsi="Calibri"/>
                <w:b/>
                <w:bCs/>
                <w:color w:val="05070B"/>
                <w:sz w:val="19"/>
                <w:szCs w:val="19"/>
              </w:rPr>
              <w:t xml:space="preserve">Full Accounting</w:t>
            </w:r>
          </w:p>
        </w:tc>
        <w:tc>
          <w:tcPr>
            <w:tcW w:type="dxa" w:w="3940"/>
            <w:tcMar>
              <w:top w:type="dxa" w:w="100"/>
              <w:left w:type="dxa" w:w="120"/>
              <w:bottom w:type="dxa" w:w="100"/>
              <w:right w:type="dxa" w:w="120"/>
            </w:tcMar>
          </w:tcPr>
          <w:p>
            <w:r>
              <w:rPr>
                <w:rFonts w:ascii="Calibri" w:cs="Calibri" w:eastAsia="Calibri" w:hAnsi="Calibri"/>
                <w:b w:val="false"/>
                <w:bCs w:val="false"/>
                <w:color w:val="05070B"/>
                <w:sz w:val="19"/>
                <w:szCs w:val="19"/>
              </w:rPr>
              <w:t xml:space="preserve">Limited — not built for complex bookkeeping or inventory.</w:t>
            </w:r>
          </w:p>
        </w:tc>
        <w:tc>
          <w:tcPr>
            <w:tcW w:type="dxa" w:w="3940"/>
            <w:tcMar>
              <w:top w:type="dxa" w:w="100"/>
              <w:left w:type="dxa" w:w="120"/>
              <w:bottom w:type="dxa" w:w="100"/>
              <w:right w:type="dxa" w:w="120"/>
            </w:tcMar>
          </w:tcPr>
          <w:p>
            <w:r>
              <w:rPr>
                <w:rFonts w:ascii="Calibri" w:cs="Calibri" w:eastAsia="Calibri" w:hAnsi="Calibri"/>
                <w:b w:val="false"/>
                <w:bCs w:val="false"/>
                <w:color w:val="05070B"/>
                <w:sz w:val="19"/>
                <w:szCs w:val="19"/>
              </w:rPr>
              <w:t xml:space="preserve">Full double-entry accounting, inventory, and more advanced reporting.</w:t>
            </w:r>
          </w:p>
        </w:tc>
      </w:tr>
      <w:tr>
        <w:tc>
          <w:tcPr>
            <w:tcW w:type="dxa" w:w="2200"/>
            <w:shd w:fill="F4F1EA" w:val="clear"/>
            <w:tcMar>
              <w:top w:type="dxa" w:w="100"/>
              <w:left w:type="dxa" w:w="120"/>
              <w:bottom w:type="dxa" w:w="100"/>
              <w:right w:type="dxa" w:w="120"/>
            </w:tcMar>
          </w:tcPr>
          <w:p>
            <w:r>
              <w:rPr>
                <w:rFonts w:ascii="Calibri" w:cs="Calibri" w:eastAsia="Calibri" w:hAnsi="Calibri"/>
                <w:b/>
                <w:bCs/>
                <w:color w:val="05070B"/>
                <w:sz w:val="19"/>
                <w:szCs w:val="19"/>
              </w:rPr>
              <w:t xml:space="preserve">Where It Falls Short</w:t>
            </w:r>
          </w:p>
        </w:tc>
        <w:tc>
          <w:tcPr>
            <w:tcW w:type="dxa" w:w="3940"/>
            <w:tcMar>
              <w:top w:type="dxa" w:w="100"/>
              <w:left w:type="dxa" w:w="120"/>
              <w:bottom w:type="dxa" w:w="100"/>
              <w:right w:type="dxa" w:w="120"/>
            </w:tcMar>
          </w:tcPr>
          <w:p>
            <w:r>
              <w:rPr>
                <w:rFonts w:ascii="Calibri" w:cs="Calibri" w:eastAsia="Calibri" w:hAnsi="Calibri"/>
                <w:b w:val="false"/>
                <w:bCs w:val="false"/>
                <w:color w:val="05070B"/>
                <w:sz w:val="19"/>
                <w:szCs w:val="19"/>
              </w:rPr>
              <w:t xml:space="preserve">Outgrown quickly by businesses that need inventory or complex reporting.</w:t>
            </w:r>
          </w:p>
        </w:tc>
        <w:tc>
          <w:tcPr>
            <w:tcW w:type="dxa" w:w="3940"/>
            <w:tcMar>
              <w:top w:type="dxa" w:w="100"/>
              <w:left w:type="dxa" w:w="120"/>
              <w:bottom w:type="dxa" w:w="100"/>
              <w:right w:type="dxa" w:w="120"/>
            </w:tcMar>
          </w:tcPr>
          <w:p>
            <w:r>
              <w:rPr>
                <w:rFonts w:ascii="Calibri" w:cs="Calibri" w:eastAsia="Calibri" w:hAnsi="Calibri"/>
                <w:b w:val="false"/>
                <w:bCs w:val="false"/>
                <w:color w:val="05070B"/>
                <w:sz w:val="19"/>
                <w:szCs w:val="19"/>
              </w:rPr>
              <w:t xml:space="preserve">More overhead than a solo freelancer typically needs.</w:t>
            </w:r>
          </w:p>
        </w:tc>
      </w:tr>
    </w:tbl>
    <w:p>
      <w:pPr>
        <w:spacing w:after="100" w:before="260"/>
      </w:pPr>
      <w:r>
        <w:rPr>
          <w:rFonts w:ascii="Georgia" w:cs="Georgia" w:eastAsia="Georgia" w:hAnsi="Georgia"/>
          <w:b/>
          <w:bCs/>
          <w:color w:val="05070B"/>
          <w:sz w:val="26"/>
          <w:szCs w:val="26"/>
        </w:rPr>
        <w:t xml:space="preserve">Bottom Line</w:t>
      </w:r>
    </w:p>
    <w:p>
      <w:pPr>
        <w:spacing w:after="160"/>
      </w:pPr>
      <w:r>
        <w:rPr>
          <w:rFonts w:ascii="Calibri" w:cs="Calibri" w:eastAsia="Calibri" w:hAnsi="Calibri"/>
          <w:b w:val="false"/>
          <w:bCs w:val="false"/>
          <w:color w:val="05070B"/>
          <w:sz w:val="21"/>
          <w:szCs w:val="21"/>
        </w:rPr>
        <w:t xml:space="preserve">Choose FreshBooks when the business is a freelancer or small service provider focused on clean, simple invoicing. Choose QuickBooks when the business needs full accounting depth, inventory tracking, or expects to grow past a solo operation.</w:t>
      </w:r>
    </w:p>
    <w:p>
      <w:pPr>
        <w:spacing w:after="100" w:before="260"/>
      </w:pPr>
      <w:r>
        <w:rPr>
          <w:rFonts w:ascii="Georgia" w:cs="Georgia" w:eastAsia="Georgia" w:hAnsi="Georgia"/>
          <w:b/>
          <w:bCs/>
          <w:color w:val="05070B"/>
          <w:sz w:val="26"/>
          <w:szCs w:val="26"/>
        </w:rPr>
        <w:t xml:space="preserve">Ask Before You Buy</w:t>
      </w:r>
    </w:p>
    <w:p>
      <w:pPr>
        <w:pStyle w:val="ListParagraph"/>
        <w:numPr>
          <w:ilvl w:val="0"/>
          <w:numId w:val="1"/>
        </w:numPr>
        <w:spacing w:after="60"/>
      </w:pPr>
      <w:r>
        <w:rPr>
          <w:rFonts w:ascii="Calibri" w:cs="Calibri" w:eastAsia="Calibri" w:hAnsi="Calibri"/>
          <w:color w:val="05070B"/>
          <w:sz w:val="21"/>
          <w:szCs w:val="21"/>
        </w:rPr>
        <w:t xml:space="preserve">Be honest about growth trajectory — switching accounting platforms later is disruptive.</w:t>
      </w:r>
    </w:p>
    <w:p>
      <w:pPr>
        <w:pStyle w:val="ListParagraph"/>
        <w:numPr>
          <w:ilvl w:val="0"/>
          <w:numId w:val="1"/>
        </w:numPr>
        <w:spacing w:after="60"/>
      </w:pPr>
      <w:r>
        <w:rPr>
          <w:rFonts w:ascii="Calibri" w:cs="Calibri" w:eastAsia="Calibri" w:hAnsi="Calibri"/>
          <w:color w:val="05070B"/>
          <w:sz w:val="21"/>
          <w:szCs w:val="21"/>
        </w:rPr>
        <w:t xml:space="preserve">Confirm time-tracking and project-billing features fit your actual client billing model.</w:t>
      </w:r>
    </w:p>
    <w:p>
      <w:pPr>
        <w:pStyle w:val="ListParagraph"/>
        <w:numPr>
          <w:ilvl w:val="0"/>
          <w:numId w:val="1"/>
        </w:numPr>
        <w:spacing w:after="60"/>
      </w:pPr>
      <w:r>
        <w:rPr>
          <w:rFonts w:ascii="Calibri" w:cs="Calibri" w:eastAsia="Calibri" w:hAnsi="Calibri"/>
          <w:color w:val="05070B"/>
          <w:sz w:val="21"/>
          <w:szCs w:val="21"/>
        </w:rPr>
        <w:t xml:space="preserve">Check whether inventory tracking is needed now or likely within the next year.</w:t>
      </w:r>
    </w:p>
    <w:p>
      <w:pPr>
        <w:pBdr>
          <w:top w:val="single" w:color="D9DCE3" w:sz="4" w:space="8"/>
        </w:pBdr>
        <w:spacing w:before="300"/>
      </w:pPr>
      <w:r>
        <w:rPr>
          <w:rFonts w:ascii="Calibri" w:cs="Calibri" w:eastAsia="Calibri" w:hAnsi="Calibri"/>
          <w:i/>
          <w:iCs/>
          <w:color w:val="5B6472"/>
          <w:sz w:val="16"/>
          <w:szCs w:val="16"/>
        </w:rPr>
        <w:t xml:space="preserve">Infinite Way Ventures — InnovateTek Solutions comparison brief. Pricing and features change; verify current details directly with each vendor before purchase.</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2026-08-16T00:46:15.476Z</dcterms:created>
  <dcterms:modified xsi:type="dcterms:W3CDTF">2026-08-16T00:46:15.476Z</dcterms:modified>
</cp:coreProperties>
</file>

<file path=docProps/custom.xml><?xml version="1.0" encoding="utf-8"?>
<Properties xmlns="http://schemas.openxmlformats.org/officeDocument/2006/custom-properties" xmlns:vt="http://schemas.openxmlformats.org/officeDocument/2006/docPropsVTypes"/>
</file>