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C9A24B"/>
          <w:spacing w:val="20"/>
          <w:sz w:val="16"/>
          <w:szCs w:val="16"/>
        </w:rPr>
        <w:t xml:space="preserve">COMPARISON BRIEF — AI / GENERAL-PURPOSE ASSISTANT</w:t>
      </w:r>
    </w:p>
    <w:p>
      <w:pPr>
        <w:spacing w:after="60"/>
      </w:pPr>
      <w:r>
        <w:rPr>
          <w:rFonts w:ascii="Georgia" w:cs="Georgia" w:eastAsia="Georgia" w:hAnsi="Georgia"/>
          <w:b/>
          <w:bCs/>
          <w:color w:val="05070B"/>
          <w:sz w:val="44"/>
          <w:szCs w:val="44"/>
        </w:rPr>
        <w:t xml:space="preserve">ChatGPT vs Claude</w:t>
      </w:r>
    </w:p>
    <w:p>
      <w:pPr>
        <w:pBdr>
          <w:bottom w:val="single" w:color="C9A24B" w:sz="12" w:space="8"/>
        </w:pBdr>
        <w:spacing w:after="200"/>
      </w:pPr>
      <w:r>
        <w:rPr>
          <w:rFonts w:ascii="Calibri" w:cs="Calibri" w:eastAsia="Calibri" w:hAnsi="Calibri"/>
          <w:i/>
          <w:iCs/>
          <w:color w:val="5B6472"/>
          <w:sz w:val="22"/>
          <w:szCs w:val="22"/>
        </w:rPr>
        <w:t xml:space="preserve">Both are general-purpose AI assistants for research, drafting, analysis, and day-to-day operating work. The right choice depends less on raw capability, which is close between the leading models of each, and more on the task type, data sensitivity, and how the review process is structured.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3940"/>
        <w:gridCol w:w="3940"/>
      </w:tblGrid>
      <w:tr>
        <w:trPr>
          <w:tblHeader/>
        </w:trPr>
        <w:tc>
          <w:tcPr>
            <w:tcW w:type="dxa" w:w="2200"/>
            <w:shd w:fill="05070B" w:val="clear"/>
            <w:tcMar>
              <w:top w:type="dxa" w:w="100"/>
              <w:left w:type="dxa" w:w="120"/>
              <w:bottom w:type="dxa" w:w="100"/>
              <w:right w:type="dxa" w:w="120"/>
            </w:tcMar>
          </w:tcPr>
          <w:p>
            <w:r>
              <w:rPr>
                <w:rFonts w:ascii="Calibri" w:cs="Calibri" w:eastAsia="Calibri" w:hAnsi="Calibri"/>
                <w:b/>
                <w:bCs/>
                <w:color w:val="FFFFFF"/>
                <w:sz w:val="19"/>
                <w:szCs w:val="19"/>
              </w:rPr>
              <w:t xml:space="preserve">Criterion</w:t>
            </w:r>
          </w:p>
        </w:tc>
        <w:tc>
          <w:tcPr>
            <w:tcW w:type="dxa" w:w="3940"/>
            <w:shd w:fill="38A8E8" w:val="clear"/>
            <w:tcMar>
              <w:top w:type="dxa" w:w="100"/>
              <w:left w:type="dxa" w:w="120"/>
              <w:bottom w:type="dxa" w:w="100"/>
              <w:right w:type="dxa" w:w="120"/>
            </w:tcMar>
          </w:tcPr>
          <w:p>
            <w:r>
              <w:rPr>
                <w:rFonts w:ascii="Calibri" w:cs="Calibri" w:eastAsia="Calibri" w:hAnsi="Calibri"/>
                <w:b/>
                <w:bCs/>
                <w:color w:val="FFFFFF"/>
                <w:sz w:val="19"/>
                <w:szCs w:val="19"/>
              </w:rPr>
              <w:t xml:space="preserve">ChatGPT</w:t>
            </w:r>
          </w:p>
        </w:tc>
        <w:tc>
          <w:tcPr>
            <w:tcW w:type="dxa" w:w="3940"/>
            <w:shd w:fill="C9A24B" w:val="clear"/>
            <w:tcMar>
              <w:top w:type="dxa" w:w="100"/>
              <w:left w:type="dxa" w:w="120"/>
              <w:bottom w:type="dxa" w:w="100"/>
              <w:right w:type="dxa" w:w="120"/>
            </w:tcMar>
          </w:tcPr>
          <w:p>
            <w:r>
              <w:rPr>
                <w:rFonts w:ascii="Calibri" w:cs="Calibri" w:eastAsia="Calibri" w:hAnsi="Calibri"/>
                <w:b/>
                <w:bCs/>
                <w:color w:val="FFFFFF"/>
                <w:sz w:val="19"/>
                <w:szCs w:val="19"/>
              </w:rPr>
              <w:t xml:space="preserve">Claude</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Best For</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Broad task coverage, plugins/extensions, and a very large ecosystem of integrations.</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Long-document analysis, careful writing, and tasks where nuanced, cautious reasoning matters.</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Ecosystem</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Largest third-party plugin and integration ecosystem currently available.</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Growing ecosystem with strong first-party tools for coding, documents, and files.</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Context Handling</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Strong, with context length varying by plan and model.</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Historically strong for very long documents and multi-step reasoning tasks.</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Tone &amp; Output Style</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Flexible and highly customizable via custom instructions.</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Tends toward careful, structured, and conservative output by default.</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Data Handling</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Enterprise tiers offer data controls; verify current policy before use with sensitive data.</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Enterprise tiers offer data controls; verify current policy before use with sensitive data.</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Where It Falls Short</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Ecosystem breadth can mean less consistency across different tools/plugins.</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Smaller plugin ecosystem outside of first-party integrations.</w:t>
            </w:r>
          </w:p>
        </w:tc>
      </w:tr>
    </w:tbl>
    <w:p>
      <w:pPr>
        <w:spacing w:after="100" w:before="260"/>
      </w:pPr>
      <w:r>
        <w:rPr>
          <w:rFonts w:ascii="Georgia" w:cs="Georgia" w:eastAsia="Georgia" w:hAnsi="Georgia"/>
          <w:b/>
          <w:bCs/>
          <w:color w:val="05070B"/>
          <w:sz w:val="26"/>
          <w:szCs w:val="26"/>
        </w:rPr>
        <w:t xml:space="preserve">Bottom Line</w:t>
      </w:r>
    </w:p>
    <w:p>
      <w:pPr>
        <w:spacing w:after="160"/>
      </w:pPr>
      <w:r>
        <w:rPr>
          <w:rFonts w:ascii="Calibri" w:cs="Calibri" w:eastAsia="Calibri" w:hAnsi="Calibri"/>
          <w:b w:val="false"/>
          <w:bCs w:val="false"/>
          <w:color w:val="05070B"/>
          <w:sz w:val="21"/>
          <w:szCs w:val="21"/>
        </w:rPr>
        <w:t xml:space="preserve">Choose based on the task, not brand loyalty — many operators use both. Route high-stakes writing, review-heavy, or long-document work to whichever model your team has tested and trusted for that use case, and always keep a human review step for anything customer-facing.</w:t>
      </w:r>
    </w:p>
    <w:p>
      <w:pPr>
        <w:spacing w:after="100" w:before="260"/>
      </w:pPr>
      <w:r>
        <w:rPr>
          <w:rFonts w:ascii="Georgia" w:cs="Georgia" w:eastAsia="Georgia" w:hAnsi="Georgia"/>
          <w:b/>
          <w:bCs/>
          <w:color w:val="05070B"/>
          <w:sz w:val="26"/>
          <w:szCs w:val="26"/>
        </w:rPr>
        <w:t xml:space="preserve">Ask Before You Buy</w:t>
      </w:r>
    </w:p>
    <w:p>
      <w:pPr>
        <w:pStyle w:val="ListParagraph"/>
        <w:numPr>
          <w:ilvl w:val="0"/>
          <w:numId w:val="1"/>
        </w:numPr>
        <w:spacing w:after="60"/>
      </w:pPr>
      <w:r>
        <w:rPr>
          <w:rFonts w:ascii="Calibri" w:cs="Calibri" w:eastAsia="Calibri" w:hAnsi="Calibri"/>
          <w:color w:val="05070B"/>
          <w:sz w:val="21"/>
          <w:szCs w:val="21"/>
        </w:rPr>
        <w:t xml:space="preserve">Define one bounded use case per tool before rollout — do not adopt AI generally with no scope.</w:t>
      </w:r>
    </w:p>
    <w:p>
      <w:pPr>
        <w:pStyle w:val="ListParagraph"/>
        <w:numPr>
          <w:ilvl w:val="0"/>
          <w:numId w:val="1"/>
        </w:numPr>
        <w:spacing w:after="60"/>
      </w:pPr>
      <w:r>
        <w:rPr>
          <w:rFonts w:ascii="Calibri" w:cs="Calibri" w:eastAsia="Calibri" w:hAnsi="Calibri"/>
          <w:color w:val="05070B"/>
          <w:sz w:val="21"/>
          <w:szCs w:val="21"/>
        </w:rPr>
        <w:t xml:space="preserve">Confirm what data is prohibited from being pasted into either tool and put it in writing.</w:t>
      </w:r>
    </w:p>
    <w:p>
      <w:pPr>
        <w:pStyle w:val="ListParagraph"/>
        <w:numPr>
          <w:ilvl w:val="0"/>
          <w:numId w:val="1"/>
        </w:numPr>
        <w:spacing w:after="60"/>
      </w:pPr>
      <w:r>
        <w:rPr>
          <w:rFonts w:ascii="Calibri" w:cs="Calibri" w:eastAsia="Calibri" w:hAnsi="Calibri"/>
          <w:color w:val="05070B"/>
          <w:sz w:val="21"/>
          <w:szCs w:val="21"/>
        </w:rPr>
        <w:t xml:space="preserve">Re-test both models periodically — capability and pricing change faster here than in most software categories.</w:t>
      </w:r>
    </w:p>
    <w:p>
      <w:pPr>
        <w:pBdr>
          <w:top w:val="single" w:color="D9DCE3" w:sz="4" w:space="8"/>
        </w:pBdr>
        <w:spacing w:before="300"/>
      </w:pPr>
      <w:r>
        <w:rPr>
          <w:rFonts w:ascii="Calibri" w:cs="Calibri" w:eastAsia="Calibri" w:hAnsi="Calibri"/>
          <w:i/>
          <w:iCs/>
          <w:color w:val="5B6472"/>
          <w:sz w:val="16"/>
          <w:szCs w:val="16"/>
        </w:rPr>
        <w:t xml:space="preserve">Infinite Way Ventures — InnovateTek Solutions comparison brief. Pricing and features change; verify current details directly with each vendor before purchase.</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2026-08-16T00:46:15.196Z</dcterms:created>
  <dcterms:modified xsi:type="dcterms:W3CDTF">2026-08-16T00:46:15.196Z</dcterms:modified>
</cp:coreProperties>
</file>

<file path=docProps/custom.xml><?xml version="1.0" encoding="utf-8"?>
<Properties xmlns="http://schemas.openxmlformats.org/officeDocument/2006/custom-properties" xmlns:vt="http://schemas.openxmlformats.org/officeDocument/2006/docPropsVTypes"/>
</file>